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D62C1" w14:textId="6ADB562C" w:rsidR="009D673E" w:rsidRDefault="009D673E" w:rsidP="001A6B09">
      <w:pPr>
        <w:contextualSpacing/>
        <w:jc w:val="both"/>
        <w:rPr>
          <w:b/>
        </w:rPr>
      </w:pPr>
      <w:bookmarkStart w:id="0" w:name="_GoBack"/>
      <w:bookmarkEnd w:id="0"/>
      <w:r>
        <w:rPr>
          <w:b/>
        </w:rPr>
        <w:t>Council Member</w:t>
      </w:r>
      <w:r w:rsidR="008609C8">
        <w:rPr>
          <w:b/>
        </w:rPr>
        <w:t xml:space="preserve"> </w:t>
      </w:r>
      <w:r w:rsidR="00860F54">
        <w:rPr>
          <w:b/>
        </w:rPr>
        <w:t>Conti</w:t>
      </w:r>
      <w:r>
        <w:rPr>
          <w:b/>
        </w:rPr>
        <w:t xml:space="preserve"> introduced the following:</w:t>
      </w:r>
    </w:p>
    <w:p w14:paraId="78425C94" w14:textId="77777777" w:rsidR="009D673E" w:rsidRDefault="009D673E" w:rsidP="001A6B09">
      <w:pPr>
        <w:contextualSpacing/>
        <w:jc w:val="both"/>
        <w:rPr>
          <w:b/>
        </w:rPr>
      </w:pPr>
    </w:p>
    <w:p w14:paraId="24E68B22" w14:textId="43B23F85" w:rsidR="000A0C11" w:rsidRDefault="003270BD" w:rsidP="001A6B09">
      <w:pPr>
        <w:contextualSpacing/>
        <w:jc w:val="both"/>
        <w:rPr>
          <w:b/>
        </w:rPr>
      </w:pPr>
      <w:r>
        <w:rPr>
          <w:b/>
        </w:rPr>
        <w:t>LOCAL LAW G</w:t>
      </w:r>
      <w:r w:rsidR="00515716">
        <w:rPr>
          <w:b/>
        </w:rPr>
        <w:t xml:space="preserve"> OF 2021</w:t>
      </w:r>
    </w:p>
    <w:p w14:paraId="3B746A73" w14:textId="77777777" w:rsidR="001A6B09" w:rsidRPr="00C05432" w:rsidRDefault="001A6B09" w:rsidP="001A6B09">
      <w:pPr>
        <w:contextualSpacing/>
        <w:jc w:val="both"/>
      </w:pPr>
    </w:p>
    <w:p w14:paraId="7C24821C" w14:textId="38BA1032" w:rsidR="007972AF" w:rsidRDefault="001A6B09" w:rsidP="001A6B09">
      <w:pPr>
        <w:spacing w:before="240" w:after="100" w:afterAutospacing="1"/>
        <w:contextualSpacing/>
        <w:jc w:val="both"/>
        <w:outlineLvl w:val="1"/>
        <w:rPr>
          <w:b/>
          <w:bCs/>
          <w:color w:val="000000"/>
        </w:rPr>
      </w:pPr>
      <w:r>
        <w:rPr>
          <w:b/>
          <w:bCs/>
          <w:color w:val="000000"/>
        </w:rPr>
        <w:t xml:space="preserve">LOCAL LAW </w:t>
      </w:r>
      <w:r w:rsidRPr="001A6B09">
        <w:rPr>
          <w:b/>
          <w:bCs/>
          <w:color w:val="000000"/>
        </w:rPr>
        <w:t>AMENDING ARTICLE IX (BUILDING CONSTRUCTION &amp; REGULATION) OF PART 2 (BUILDING CONSTRUCTION) OF CHAPTER 133 (</w:t>
      </w:r>
      <w:r w:rsidR="003270BD">
        <w:rPr>
          <w:b/>
          <w:bCs/>
          <w:color w:val="000000"/>
        </w:rPr>
        <w:t>BUILDING CONSTRUCTION)</w:t>
      </w:r>
      <w:r w:rsidRPr="001A6B09">
        <w:rPr>
          <w:b/>
          <w:bCs/>
          <w:color w:val="000000"/>
        </w:rPr>
        <w:t xml:space="preserve"> OF THE CODE OF THE CITY OF ALBANY IN RELATION TO THE POWER OF THE CHIEF BUILDING OFFICIAL TO ACT IN EMERGENCIES</w:t>
      </w:r>
    </w:p>
    <w:p w14:paraId="1FA05F30" w14:textId="77777777" w:rsidR="001A6B09" w:rsidRPr="001A6B09" w:rsidRDefault="001A6B09" w:rsidP="001A6B09">
      <w:pPr>
        <w:spacing w:before="240" w:after="100" w:afterAutospacing="1"/>
        <w:contextualSpacing/>
        <w:jc w:val="both"/>
        <w:outlineLvl w:val="1"/>
        <w:rPr>
          <w:b/>
          <w:bCs/>
          <w:color w:val="000000"/>
        </w:rPr>
      </w:pPr>
    </w:p>
    <w:p w14:paraId="66708762" w14:textId="77777777" w:rsidR="000B0452" w:rsidRDefault="000B0452" w:rsidP="000B0452">
      <w:pPr>
        <w:jc w:val="both"/>
        <w:rPr>
          <w:i/>
        </w:rPr>
      </w:pPr>
      <w:r>
        <w:rPr>
          <w:i/>
        </w:rPr>
        <w:t>Be it enacted, by the Common Council of the City of Albany as follows:</w:t>
      </w:r>
    </w:p>
    <w:p w14:paraId="0606975E" w14:textId="77777777" w:rsidR="007972AF" w:rsidRDefault="007972AF" w:rsidP="001A6B09">
      <w:pPr>
        <w:contextualSpacing/>
        <w:jc w:val="both"/>
      </w:pPr>
    </w:p>
    <w:p w14:paraId="45E99FAE" w14:textId="35110A48" w:rsidR="001D0627" w:rsidRDefault="001D0627" w:rsidP="001A6B09">
      <w:pPr>
        <w:contextualSpacing/>
        <w:jc w:val="both"/>
      </w:pPr>
      <w:r>
        <w:tab/>
      </w:r>
      <w:r>
        <w:rPr>
          <w:b/>
        </w:rPr>
        <w:t xml:space="preserve">Section 1. </w:t>
      </w:r>
      <w:r w:rsidR="002F35A2">
        <w:t xml:space="preserve">Section 133-55 (Power to act in emergencies) of Article IX (Building Construction and Regulation) of </w:t>
      </w:r>
      <w:r w:rsidR="003270BD">
        <w:t xml:space="preserve">Part 2 (Building Construction) of </w:t>
      </w:r>
      <w:r w:rsidR="002F35A2">
        <w:t>Chapter 133 (Building Construction) of Part II (General Legislation) of the Code of the City of Albany is hereby amended to read as follows:</w:t>
      </w:r>
    </w:p>
    <w:p w14:paraId="2E9FA855" w14:textId="77777777" w:rsidR="002F35A2" w:rsidRDefault="002F35A2" w:rsidP="001A6B09">
      <w:pPr>
        <w:contextualSpacing/>
        <w:jc w:val="both"/>
      </w:pPr>
    </w:p>
    <w:p w14:paraId="3E09A1B7" w14:textId="77777777" w:rsidR="002F35A2" w:rsidRPr="002F35A2" w:rsidRDefault="002F35A2" w:rsidP="000B0452">
      <w:pPr>
        <w:pStyle w:val="NoSpacing"/>
        <w:contextualSpacing/>
        <w:jc w:val="both"/>
        <w:rPr>
          <w:rFonts w:ascii="Times New Roman" w:hAnsi="Times New Roman" w:cs="Times New Roman"/>
          <w:b/>
          <w:sz w:val="24"/>
          <w:szCs w:val="24"/>
        </w:rPr>
      </w:pPr>
      <w:r w:rsidRPr="002F35A2">
        <w:rPr>
          <w:rFonts w:ascii="Times New Roman" w:hAnsi="Times New Roman" w:cs="Times New Roman"/>
          <w:b/>
          <w:sz w:val="24"/>
          <w:szCs w:val="24"/>
        </w:rPr>
        <w:t>§ 133-55 - Power to act in emergencies.</w:t>
      </w:r>
    </w:p>
    <w:p w14:paraId="128DC558" w14:textId="77777777" w:rsidR="002F35A2" w:rsidRPr="00D877A6" w:rsidRDefault="002F35A2" w:rsidP="000B0452">
      <w:pPr>
        <w:pStyle w:val="NoSpacing"/>
        <w:contextualSpacing/>
        <w:jc w:val="both"/>
        <w:rPr>
          <w:rFonts w:ascii="Times New Roman" w:hAnsi="Times New Roman" w:cs="Times New Roman"/>
          <w:sz w:val="24"/>
          <w:szCs w:val="24"/>
        </w:rPr>
      </w:pPr>
    </w:p>
    <w:p w14:paraId="63D88EF8" w14:textId="77777777" w:rsidR="002F35A2" w:rsidRPr="00D877A6" w:rsidRDefault="00515716" w:rsidP="00F30EDE">
      <w:pPr>
        <w:pStyle w:val="NoSpacing"/>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F35A2" w:rsidRPr="00D877A6">
        <w:rPr>
          <w:rFonts w:ascii="Times New Roman" w:hAnsi="Times New Roman" w:cs="Times New Roman"/>
          <w:sz w:val="24"/>
          <w:szCs w:val="24"/>
        </w:rPr>
        <w:t xml:space="preserve">Whenever the </w:t>
      </w:r>
      <w:r>
        <w:rPr>
          <w:rFonts w:ascii="Times New Roman" w:hAnsi="Times New Roman" w:cs="Times New Roman"/>
          <w:sz w:val="24"/>
          <w:szCs w:val="24"/>
        </w:rPr>
        <w:t>[</w:t>
      </w:r>
      <w:r w:rsidR="002F35A2" w:rsidRPr="002F35A2">
        <w:rPr>
          <w:rFonts w:ascii="Times New Roman" w:hAnsi="Times New Roman" w:cs="Times New Roman"/>
          <w:strike/>
          <w:sz w:val="24"/>
          <w:szCs w:val="24"/>
        </w:rPr>
        <w:t>Commissioner</w:t>
      </w:r>
      <w:r>
        <w:rPr>
          <w:rFonts w:ascii="Times New Roman" w:hAnsi="Times New Roman" w:cs="Times New Roman"/>
          <w:sz w:val="24"/>
          <w:szCs w:val="24"/>
        </w:rPr>
        <w:t xml:space="preserve">] </w:t>
      </w:r>
      <w:r w:rsidR="002F35A2" w:rsidRPr="002F35A2">
        <w:rPr>
          <w:rFonts w:ascii="Times New Roman" w:hAnsi="Times New Roman" w:cs="Times New Roman"/>
          <w:sz w:val="24"/>
          <w:szCs w:val="24"/>
          <w:u w:val="single"/>
        </w:rPr>
        <w:t>Chief Building Official</w:t>
      </w:r>
      <w:r w:rsidR="002F35A2" w:rsidRPr="00D877A6">
        <w:rPr>
          <w:rFonts w:ascii="Times New Roman" w:hAnsi="Times New Roman" w:cs="Times New Roman"/>
          <w:sz w:val="24"/>
          <w:szCs w:val="24"/>
        </w:rPr>
        <w:t xml:space="preserve"> finds that a violation of this Part 2 exists which, in</w:t>
      </w:r>
      <w:r w:rsidR="002F35A2">
        <w:rPr>
          <w:rFonts w:ascii="Times New Roman" w:hAnsi="Times New Roman" w:cs="Times New Roman"/>
          <w:sz w:val="24"/>
          <w:szCs w:val="24"/>
        </w:rPr>
        <w:t xml:space="preserve"> </w:t>
      </w:r>
      <w:r>
        <w:rPr>
          <w:rFonts w:ascii="Times New Roman" w:hAnsi="Times New Roman" w:cs="Times New Roman"/>
          <w:sz w:val="24"/>
          <w:szCs w:val="24"/>
        </w:rPr>
        <w:t>[</w:t>
      </w:r>
      <w:r w:rsidR="002F35A2" w:rsidRPr="002F35A2">
        <w:rPr>
          <w:rFonts w:ascii="Times New Roman" w:hAnsi="Times New Roman" w:cs="Times New Roman"/>
          <w:strike/>
          <w:sz w:val="24"/>
          <w:szCs w:val="24"/>
        </w:rPr>
        <w:t>his</w:t>
      </w:r>
      <w:r>
        <w:rPr>
          <w:rFonts w:ascii="Times New Roman" w:hAnsi="Times New Roman" w:cs="Times New Roman"/>
          <w:sz w:val="24"/>
          <w:szCs w:val="24"/>
        </w:rPr>
        <w:t xml:space="preserve">] </w:t>
      </w:r>
      <w:r w:rsidR="002F35A2">
        <w:rPr>
          <w:rFonts w:ascii="Times New Roman" w:hAnsi="Times New Roman" w:cs="Times New Roman"/>
          <w:sz w:val="24"/>
          <w:szCs w:val="24"/>
          <w:u w:val="single"/>
        </w:rPr>
        <w:t>their</w:t>
      </w:r>
      <w:r w:rsidR="002F35A2" w:rsidRPr="00D877A6">
        <w:rPr>
          <w:rFonts w:ascii="Times New Roman" w:hAnsi="Times New Roman" w:cs="Times New Roman"/>
          <w:sz w:val="24"/>
          <w:szCs w:val="24"/>
        </w:rPr>
        <w:t xml:space="preserve"> opinion, requires immediate action to abate a direct hazard or an immediate danger to the health, safety or welfare of the occupants of a building or of the public, the</w:t>
      </w:r>
      <w:r w:rsidR="002F35A2">
        <w:rPr>
          <w:rFonts w:ascii="Times New Roman" w:hAnsi="Times New Roman" w:cs="Times New Roman"/>
          <w:sz w:val="24"/>
          <w:szCs w:val="24"/>
        </w:rPr>
        <w:t xml:space="preserve"> </w:t>
      </w:r>
      <w:r w:rsidR="000B0452">
        <w:rPr>
          <w:rFonts w:ascii="Times New Roman" w:hAnsi="Times New Roman" w:cs="Times New Roman"/>
          <w:sz w:val="24"/>
          <w:szCs w:val="24"/>
        </w:rPr>
        <w:t>[</w:t>
      </w:r>
      <w:r w:rsidRPr="00515716">
        <w:rPr>
          <w:rFonts w:ascii="Times New Roman" w:hAnsi="Times New Roman" w:cs="Times New Roman"/>
          <w:strike/>
          <w:sz w:val="24"/>
          <w:szCs w:val="24"/>
        </w:rPr>
        <w:t>Commissioner</w:t>
      </w:r>
      <w:r w:rsidR="000B0452">
        <w:rPr>
          <w:rFonts w:ascii="Times New Roman" w:hAnsi="Times New Roman" w:cs="Times New Roman"/>
          <w:sz w:val="24"/>
          <w:szCs w:val="24"/>
        </w:rPr>
        <w:t xml:space="preserve">] </w:t>
      </w:r>
      <w:r w:rsidR="002F35A2" w:rsidRPr="00515716">
        <w:rPr>
          <w:rFonts w:ascii="Times New Roman" w:hAnsi="Times New Roman" w:cs="Times New Roman"/>
          <w:sz w:val="24"/>
          <w:szCs w:val="24"/>
          <w:u w:val="single"/>
        </w:rPr>
        <w:t>Chief</w:t>
      </w:r>
      <w:r w:rsidR="002F35A2" w:rsidRPr="002F35A2">
        <w:rPr>
          <w:rFonts w:ascii="Times New Roman" w:hAnsi="Times New Roman" w:cs="Times New Roman"/>
          <w:sz w:val="24"/>
          <w:szCs w:val="24"/>
          <w:u w:val="single"/>
        </w:rPr>
        <w:t xml:space="preserve"> Building Official</w:t>
      </w:r>
      <w:r w:rsidR="002F35A2" w:rsidRPr="00D877A6">
        <w:rPr>
          <w:rFonts w:ascii="Times New Roman" w:hAnsi="Times New Roman" w:cs="Times New Roman"/>
          <w:sz w:val="24"/>
          <w:szCs w:val="24"/>
        </w:rPr>
        <w:t xml:space="preserve"> may, without prior notice or hearing, take any action authorized herein which is reasonably necessary to abate or remove the condition.</w:t>
      </w:r>
    </w:p>
    <w:p w14:paraId="05F19D4F" w14:textId="77777777" w:rsidR="002F35A2" w:rsidRPr="00D877A6" w:rsidRDefault="002F35A2" w:rsidP="00F30EDE">
      <w:pPr>
        <w:pStyle w:val="NoSpacing"/>
        <w:ind w:left="720" w:hanging="720"/>
        <w:contextualSpacing/>
        <w:jc w:val="both"/>
        <w:rPr>
          <w:rFonts w:ascii="Times New Roman" w:hAnsi="Times New Roman" w:cs="Times New Roman"/>
          <w:sz w:val="24"/>
          <w:szCs w:val="24"/>
        </w:rPr>
      </w:pPr>
    </w:p>
    <w:p w14:paraId="212C91AE" w14:textId="77777777" w:rsidR="002F35A2" w:rsidRPr="00D877A6" w:rsidRDefault="00515716" w:rsidP="00F30EDE">
      <w:pPr>
        <w:pStyle w:val="NoSpacing"/>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F35A2" w:rsidRPr="00D877A6">
        <w:rPr>
          <w:rFonts w:ascii="Times New Roman" w:hAnsi="Times New Roman" w:cs="Times New Roman"/>
          <w:sz w:val="24"/>
          <w:szCs w:val="24"/>
        </w:rPr>
        <w:t>Such action may include but is not limited to demolition of the building or structure, vacating the occupants of the premises and of surrounding premises, closing of public or private streets or rights-of-way, termination of utility service, erection of barricades and other protections and the performance of physical work on the premises.</w:t>
      </w:r>
    </w:p>
    <w:p w14:paraId="45DD799B" w14:textId="77777777" w:rsidR="002F35A2" w:rsidRPr="00D877A6" w:rsidRDefault="002F35A2" w:rsidP="00F30EDE">
      <w:pPr>
        <w:pStyle w:val="NoSpacing"/>
        <w:ind w:left="720" w:hanging="720"/>
        <w:contextualSpacing/>
        <w:jc w:val="both"/>
        <w:rPr>
          <w:rFonts w:ascii="Times New Roman" w:hAnsi="Times New Roman" w:cs="Times New Roman"/>
          <w:sz w:val="24"/>
          <w:szCs w:val="24"/>
        </w:rPr>
      </w:pPr>
    </w:p>
    <w:p w14:paraId="5C8F0E64" w14:textId="77777777" w:rsidR="002F35A2" w:rsidRPr="00D877A6" w:rsidRDefault="006E340A" w:rsidP="00F30EDE">
      <w:pPr>
        <w:pStyle w:val="NoSpacing"/>
        <w:ind w:left="720" w:hanging="72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2F35A2" w:rsidRPr="00D877A6">
        <w:rPr>
          <w:rFonts w:ascii="Times New Roman" w:hAnsi="Times New Roman" w:cs="Times New Roman"/>
          <w:sz w:val="24"/>
          <w:szCs w:val="24"/>
        </w:rPr>
        <w:t>Recovery of any cost incurred with respect to the abatement of an emergency by the</w:t>
      </w:r>
      <w:r w:rsidR="002F35A2">
        <w:rPr>
          <w:rFonts w:ascii="Times New Roman" w:hAnsi="Times New Roman" w:cs="Times New Roman"/>
          <w:sz w:val="24"/>
          <w:szCs w:val="24"/>
        </w:rPr>
        <w:t xml:space="preserve"> </w:t>
      </w:r>
      <w:r w:rsidR="00515716">
        <w:rPr>
          <w:rFonts w:ascii="Times New Roman" w:hAnsi="Times New Roman" w:cs="Times New Roman"/>
          <w:sz w:val="24"/>
          <w:szCs w:val="24"/>
        </w:rPr>
        <w:t>[</w:t>
      </w:r>
      <w:r w:rsidR="002F35A2" w:rsidRPr="002F35A2">
        <w:rPr>
          <w:rFonts w:ascii="Times New Roman" w:hAnsi="Times New Roman" w:cs="Times New Roman"/>
          <w:strike/>
          <w:sz w:val="24"/>
          <w:szCs w:val="24"/>
        </w:rPr>
        <w:t>Commissioner</w:t>
      </w:r>
      <w:r w:rsidR="00515716">
        <w:rPr>
          <w:rFonts w:ascii="Times New Roman" w:hAnsi="Times New Roman" w:cs="Times New Roman"/>
          <w:sz w:val="24"/>
          <w:szCs w:val="24"/>
        </w:rPr>
        <w:t xml:space="preserve">] </w:t>
      </w:r>
      <w:r w:rsidR="002F35A2" w:rsidRPr="002F35A2">
        <w:rPr>
          <w:rFonts w:ascii="Times New Roman" w:hAnsi="Times New Roman" w:cs="Times New Roman"/>
          <w:sz w:val="24"/>
          <w:szCs w:val="24"/>
          <w:u w:val="single"/>
        </w:rPr>
        <w:t>Chief Building Official</w:t>
      </w:r>
      <w:r w:rsidR="002F35A2" w:rsidRPr="006E340A">
        <w:rPr>
          <w:rFonts w:ascii="Times New Roman" w:hAnsi="Times New Roman" w:cs="Times New Roman"/>
          <w:sz w:val="24"/>
          <w:szCs w:val="24"/>
        </w:rPr>
        <w:t xml:space="preserve"> </w:t>
      </w:r>
      <w:r w:rsidR="002F35A2" w:rsidRPr="00D877A6">
        <w:rPr>
          <w:rFonts w:ascii="Times New Roman" w:hAnsi="Times New Roman" w:cs="Times New Roman"/>
          <w:sz w:val="24"/>
          <w:szCs w:val="24"/>
        </w:rPr>
        <w:t>shall take place pursuant to the provisions of this Part 2, and the</w:t>
      </w:r>
      <w:r w:rsidR="002F35A2">
        <w:rPr>
          <w:rFonts w:ascii="Times New Roman" w:hAnsi="Times New Roman" w:cs="Times New Roman"/>
          <w:sz w:val="24"/>
          <w:szCs w:val="24"/>
        </w:rPr>
        <w:t xml:space="preserve"> </w:t>
      </w:r>
      <w:r w:rsidR="00515716">
        <w:rPr>
          <w:rFonts w:ascii="Times New Roman" w:hAnsi="Times New Roman" w:cs="Times New Roman"/>
          <w:sz w:val="24"/>
          <w:szCs w:val="24"/>
        </w:rPr>
        <w:t>[</w:t>
      </w:r>
      <w:r w:rsidR="002F35A2" w:rsidRPr="002F35A2">
        <w:rPr>
          <w:rFonts w:ascii="Times New Roman" w:hAnsi="Times New Roman" w:cs="Times New Roman"/>
          <w:strike/>
          <w:sz w:val="24"/>
          <w:szCs w:val="24"/>
        </w:rPr>
        <w:t>Commissioner of Buildings</w:t>
      </w:r>
      <w:r w:rsidR="00515716" w:rsidRPr="00515716">
        <w:rPr>
          <w:rFonts w:ascii="Times New Roman" w:hAnsi="Times New Roman" w:cs="Times New Roman"/>
          <w:sz w:val="24"/>
          <w:szCs w:val="24"/>
        </w:rPr>
        <w:t>]</w:t>
      </w:r>
      <w:r w:rsidR="002F35A2">
        <w:rPr>
          <w:rFonts w:ascii="Times New Roman" w:hAnsi="Times New Roman" w:cs="Times New Roman"/>
          <w:sz w:val="24"/>
          <w:szCs w:val="24"/>
        </w:rPr>
        <w:t xml:space="preserve"> </w:t>
      </w:r>
      <w:r w:rsidR="002F35A2">
        <w:rPr>
          <w:rFonts w:ascii="Times New Roman" w:hAnsi="Times New Roman" w:cs="Times New Roman"/>
          <w:sz w:val="24"/>
          <w:szCs w:val="24"/>
          <w:u w:val="single"/>
        </w:rPr>
        <w:t xml:space="preserve">Chief Building Official </w:t>
      </w:r>
      <w:r w:rsidR="002F35A2" w:rsidRPr="00D877A6">
        <w:rPr>
          <w:rFonts w:ascii="Times New Roman" w:hAnsi="Times New Roman" w:cs="Times New Roman"/>
          <w:sz w:val="24"/>
          <w:szCs w:val="24"/>
        </w:rPr>
        <w:t>is hereby authorized and empowered to employ such labor and furnish such materials and take such steps as in</w:t>
      </w:r>
      <w:r w:rsidR="002F35A2">
        <w:rPr>
          <w:rFonts w:ascii="Times New Roman" w:hAnsi="Times New Roman" w:cs="Times New Roman"/>
          <w:sz w:val="24"/>
          <w:szCs w:val="24"/>
        </w:rPr>
        <w:t xml:space="preserve"> </w:t>
      </w:r>
      <w:r w:rsidR="00515716">
        <w:rPr>
          <w:rFonts w:ascii="Times New Roman" w:hAnsi="Times New Roman" w:cs="Times New Roman"/>
          <w:sz w:val="24"/>
          <w:szCs w:val="24"/>
        </w:rPr>
        <w:t>[</w:t>
      </w:r>
      <w:r w:rsidR="002F35A2" w:rsidRPr="002F35A2">
        <w:rPr>
          <w:rFonts w:ascii="Times New Roman" w:hAnsi="Times New Roman" w:cs="Times New Roman"/>
          <w:strike/>
          <w:sz w:val="24"/>
          <w:szCs w:val="24"/>
        </w:rPr>
        <w:t>his</w:t>
      </w:r>
      <w:r w:rsidR="00515716" w:rsidRPr="00515716">
        <w:rPr>
          <w:rFonts w:ascii="Times New Roman" w:hAnsi="Times New Roman" w:cs="Times New Roman"/>
          <w:sz w:val="24"/>
          <w:szCs w:val="24"/>
        </w:rPr>
        <w:t>]</w:t>
      </w:r>
      <w:r w:rsidR="002F35A2" w:rsidRPr="00515716">
        <w:rPr>
          <w:rFonts w:ascii="Times New Roman" w:hAnsi="Times New Roman" w:cs="Times New Roman"/>
          <w:sz w:val="24"/>
          <w:szCs w:val="24"/>
        </w:rPr>
        <w:t xml:space="preserve"> </w:t>
      </w:r>
      <w:r w:rsidR="002F35A2">
        <w:rPr>
          <w:rFonts w:ascii="Times New Roman" w:hAnsi="Times New Roman" w:cs="Times New Roman"/>
          <w:sz w:val="24"/>
          <w:szCs w:val="24"/>
          <w:u w:val="single"/>
        </w:rPr>
        <w:t>their</w:t>
      </w:r>
      <w:r w:rsidR="002F35A2" w:rsidRPr="00515716">
        <w:rPr>
          <w:rFonts w:ascii="Times New Roman" w:hAnsi="Times New Roman" w:cs="Times New Roman"/>
          <w:sz w:val="24"/>
          <w:szCs w:val="24"/>
        </w:rPr>
        <w:t xml:space="preserve"> </w:t>
      </w:r>
      <w:r w:rsidR="002F35A2" w:rsidRPr="00D877A6">
        <w:rPr>
          <w:rFonts w:ascii="Times New Roman" w:hAnsi="Times New Roman" w:cs="Times New Roman"/>
          <w:sz w:val="24"/>
          <w:szCs w:val="24"/>
        </w:rPr>
        <w:t>judgment may be necessary to make the building safe.</w:t>
      </w:r>
    </w:p>
    <w:p w14:paraId="7727FF6C" w14:textId="77777777" w:rsidR="002F35A2" w:rsidRPr="00D877A6" w:rsidRDefault="002F35A2" w:rsidP="00F30EDE">
      <w:pPr>
        <w:pStyle w:val="NoSpacing"/>
        <w:ind w:left="720" w:hanging="720"/>
        <w:contextualSpacing/>
        <w:jc w:val="both"/>
        <w:rPr>
          <w:rFonts w:ascii="Times New Roman" w:hAnsi="Times New Roman" w:cs="Times New Roman"/>
          <w:sz w:val="24"/>
          <w:szCs w:val="24"/>
        </w:rPr>
      </w:pPr>
    </w:p>
    <w:p w14:paraId="547EBE0E" w14:textId="69C44864" w:rsidR="002F35A2" w:rsidRPr="00D877A6" w:rsidRDefault="006E340A" w:rsidP="00F30EDE">
      <w:pPr>
        <w:pStyle w:val="NoSpacing"/>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2F35A2" w:rsidRPr="00D877A6">
        <w:rPr>
          <w:rFonts w:ascii="Times New Roman" w:hAnsi="Times New Roman" w:cs="Times New Roman"/>
          <w:sz w:val="24"/>
          <w:szCs w:val="24"/>
        </w:rPr>
        <w:t>The value of the work done and the materials furnished in doing said work, or any part thereof, under and by direction of the Department of Buildings, as provided for in the last section, shall, when properly certified by the</w:t>
      </w:r>
      <w:r w:rsidR="00584977">
        <w:rPr>
          <w:rFonts w:ascii="Times New Roman" w:hAnsi="Times New Roman" w:cs="Times New Roman"/>
          <w:sz w:val="24"/>
          <w:szCs w:val="24"/>
        </w:rPr>
        <w:t xml:space="preserve"> </w:t>
      </w:r>
      <w:r w:rsidR="00515716">
        <w:rPr>
          <w:rFonts w:ascii="Times New Roman" w:hAnsi="Times New Roman" w:cs="Times New Roman"/>
          <w:sz w:val="24"/>
          <w:szCs w:val="24"/>
        </w:rPr>
        <w:t>[</w:t>
      </w:r>
      <w:r w:rsidR="00584977" w:rsidRPr="00584977">
        <w:rPr>
          <w:rFonts w:ascii="Times New Roman" w:hAnsi="Times New Roman" w:cs="Times New Roman"/>
          <w:strike/>
          <w:sz w:val="24"/>
          <w:szCs w:val="24"/>
        </w:rPr>
        <w:t>Commissioner of Buildings</w:t>
      </w:r>
      <w:r w:rsidR="00515716" w:rsidRPr="00515716">
        <w:rPr>
          <w:rFonts w:ascii="Times New Roman" w:hAnsi="Times New Roman" w:cs="Times New Roman"/>
          <w:sz w:val="24"/>
          <w:szCs w:val="24"/>
        </w:rPr>
        <w:t>]</w:t>
      </w:r>
      <w:r w:rsidR="00584977">
        <w:rPr>
          <w:rFonts w:ascii="Times New Roman" w:hAnsi="Times New Roman" w:cs="Times New Roman"/>
          <w:sz w:val="24"/>
          <w:szCs w:val="24"/>
        </w:rPr>
        <w:t xml:space="preserve"> </w:t>
      </w:r>
      <w:r w:rsidR="00584977" w:rsidRPr="00584977">
        <w:rPr>
          <w:rFonts w:ascii="Times New Roman" w:hAnsi="Times New Roman" w:cs="Times New Roman"/>
          <w:sz w:val="24"/>
          <w:szCs w:val="24"/>
          <w:u w:val="single"/>
        </w:rPr>
        <w:t>Chief Building Official</w:t>
      </w:r>
      <w:r w:rsidR="002F35A2" w:rsidRPr="00D877A6">
        <w:rPr>
          <w:rFonts w:ascii="Times New Roman" w:hAnsi="Times New Roman" w:cs="Times New Roman"/>
          <w:sz w:val="24"/>
          <w:szCs w:val="24"/>
        </w:rPr>
        <w:t>, be audited and paid by the City in the same manner as other claims against the City are audited and paid, and the amount so paid</w:t>
      </w:r>
      <w:r w:rsidR="00584977">
        <w:rPr>
          <w:rFonts w:ascii="Times New Roman" w:hAnsi="Times New Roman" w:cs="Times New Roman"/>
          <w:sz w:val="24"/>
          <w:szCs w:val="24"/>
        </w:rPr>
        <w:t xml:space="preserve"> </w:t>
      </w:r>
      <w:r w:rsidR="00515716">
        <w:rPr>
          <w:rFonts w:ascii="Times New Roman" w:hAnsi="Times New Roman" w:cs="Times New Roman"/>
          <w:sz w:val="24"/>
          <w:szCs w:val="24"/>
        </w:rPr>
        <w:t>[</w:t>
      </w:r>
      <w:r w:rsidR="00584977">
        <w:rPr>
          <w:rFonts w:ascii="Times New Roman" w:hAnsi="Times New Roman" w:cs="Times New Roman"/>
          <w:strike/>
          <w:sz w:val="24"/>
          <w:szCs w:val="24"/>
        </w:rPr>
        <w:t>shall be and remain a lien against the prope</w:t>
      </w:r>
      <w:r w:rsidR="00515716">
        <w:rPr>
          <w:rFonts w:ascii="Times New Roman" w:hAnsi="Times New Roman" w:cs="Times New Roman"/>
          <w:strike/>
          <w:sz w:val="24"/>
          <w:szCs w:val="24"/>
        </w:rPr>
        <w:t>rty upon which the work is done</w:t>
      </w:r>
      <w:r w:rsidR="00515716" w:rsidRPr="00515716">
        <w:rPr>
          <w:rFonts w:ascii="Times New Roman" w:hAnsi="Times New Roman" w:cs="Times New Roman"/>
          <w:sz w:val="24"/>
          <w:szCs w:val="24"/>
        </w:rPr>
        <w:t xml:space="preserve">] </w:t>
      </w:r>
      <w:r w:rsidR="002F35A2" w:rsidRPr="00584977">
        <w:rPr>
          <w:rFonts w:ascii="Times New Roman" w:hAnsi="Times New Roman" w:cs="Times New Roman"/>
          <w:sz w:val="24"/>
          <w:szCs w:val="24"/>
          <w:u w:val="single"/>
        </w:rPr>
        <w:t>shall constitute a debt recoverable from the owner and a lien upon the building and lot, and upon the rents and other income thereof</w:t>
      </w:r>
      <w:r w:rsidR="003270BD">
        <w:rPr>
          <w:rFonts w:ascii="Times New Roman" w:hAnsi="Times New Roman" w:cs="Times New Roman"/>
          <w:sz w:val="24"/>
          <w:szCs w:val="24"/>
          <w:u w:val="single"/>
        </w:rPr>
        <w:t>,</w:t>
      </w:r>
      <w:r w:rsidR="002F35A2">
        <w:rPr>
          <w:rFonts w:ascii="Times New Roman" w:hAnsi="Times New Roman" w:cs="Times New Roman"/>
          <w:sz w:val="24"/>
          <w:szCs w:val="24"/>
        </w:rPr>
        <w:t xml:space="preserve"> </w:t>
      </w:r>
      <w:r w:rsidR="002F35A2" w:rsidRPr="00D877A6">
        <w:rPr>
          <w:rFonts w:ascii="Times New Roman" w:hAnsi="Times New Roman" w:cs="Times New Roman"/>
          <w:sz w:val="24"/>
          <w:szCs w:val="24"/>
        </w:rPr>
        <w:t xml:space="preserve">and shall be collected by the City from the owner of such property in the same manner as taxes are collected, and the City may institute an action at law against such owner, owners or </w:t>
      </w:r>
      <w:r w:rsidR="002F35A2" w:rsidRPr="00D877A6">
        <w:rPr>
          <w:rFonts w:ascii="Times New Roman" w:hAnsi="Times New Roman" w:cs="Times New Roman"/>
          <w:sz w:val="24"/>
          <w:szCs w:val="24"/>
        </w:rPr>
        <w:lastRenderedPageBreak/>
        <w:t>occupants to recover the cost thereof. The remedy by action at law shall be in addition to the right to assess the cost as a lien against the property.</w:t>
      </w:r>
    </w:p>
    <w:p w14:paraId="1D4E079D" w14:textId="77777777" w:rsidR="002F35A2" w:rsidRPr="002F35A2" w:rsidRDefault="002F35A2" w:rsidP="000B0452">
      <w:pPr>
        <w:ind w:left="360" w:hanging="360"/>
        <w:contextualSpacing/>
        <w:jc w:val="both"/>
      </w:pPr>
    </w:p>
    <w:p w14:paraId="5586D46C" w14:textId="77777777" w:rsidR="006C3747" w:rsidRPr="006C3747" w:rsidRDefault="006C3747" w:rsidP="000B0452">
      <w:pPr>
        <w:ind w:right="180"/>
        <w:contextualSpacing/>
        <w:jc w:val="both"/>
      </w:pPr>
      <w:r>
        <w:tab/>
      </w:r>
      <w:r>
        <w:rPr>
          <w:b/>
        </w:rPr>
        <w:t xml:space="preserve">Section </w:t>
      </w:r>
      <w:r w:rsidR="00584977">
        <w:rPr>
          <w:b/>
        </w:rPr>
        <w:t>2</w:t>
      </w:r>
      <w:r>
        <w:rPr>
          <w:b/>
        </w:rPr>
        <w:t xml:space="preserve">. </w:t>
      </w:r>
      <w:r>
        <w:t xml:space="preserve">This ordinance shall take effect </w:t>
      </w:r>
      <w:r w:rsidR="001A6B09">
        <w:t>upon final passage, public hearing, and filing with the Secretary of State</w:t>
      </w:r>
      <w:r>
        <w:t xml:space="preserve">. </w:t>
      </w:r>
    </w:p>
    <w:p w14:paraId="30900A87" w14:textId="77777777" w:rsidR="007972AF" w:rsidRDefault="007972AF" w:rsidP="000B0452">
      <w:pPr>
        <w:ind w:right="180"/>
        <w:contextualSpacing/>
        <w:jc w:val="both"/>
        <w:rPr>
          <w:b/>
        </w:rPr>
      </w:pPr>
    </w:p>
    <w:p w14:paraId="20F0A7F9" w14:textId="77777777" w:rsidR="007972AF" w:rsidRDefault="007972AF" w:rsidP="001A6B09">
      <w:pPr>
        <w:ind w:right="180"/>
        <w:contextualSpacing/>
        <w:jc w:val="both"/>
        <w:rPr>
          <w:b/>
        </w:rPr>
      </w:pPr>
    </w:p>
    <w:p w14:paraId="4B68C782" w14:textId="77777777" w:rsidR="007972AF" w:rsidRDefault="007972AF" w:rsidP="001A6B09">
      <w:pPr>
        <w:ind w:right="180"/>
        <w:contextualSpacing/>
        <w:jc w:val="both"/>
        <w:rPr>
          <w:b/>
        </w:rPr>
      </w:pPr>
    </w:p>
    <w:p w14:paraId="0DBAAE15" w14:textId="77777777" w:rsidR="000A0C11" w:rsidRPr="009D673E" w:rsidRDefault="000A0C11" w:rsidP="001A6B09">
      <w:pPr>
        <w:contextualSpacing/>
        <w:rPr>
          <w:b/>
        </w:rPr>
      </w:pPr>
      <w:r w:rsidRPr="009D673E">
        <w:rPr>
          <w:b/>
        </w:rPr>
        <w:t>APPROVED AS TO FORM</w:t>
      </w:r>
      <w:r w:rsidR="00584977">
        <w:rPr>
          <w:b/>
        </w:rPr>
        <w:t xml:space="preserve"> THIS</w:t>
      </w:r>
    </w:p>
    <w:p w14:paraId="4DB505AA" w14:textId="77777777" w:rsidR="000A0C11" w:rsidRPr="00584977" w:rsidRDefault="00515716" w:rsidP="001A6B09">
      <w:pPr>
        <w:contextualSpacing/>
        <w:rPr>
          <w:b/>
        </w:rPr>
      </w:pPr>
      <w:r>
        <w:rPr>
          <w:b/>
        </w:rPr>
        <w:t>6</w:t>
      </w:r>
      <w:r w:rsidRPr="00515716">
        <w:rPr>
          <w:b/>
          <w:vertAlign w:val="superscript"/>
        </w:rPr>
        <w:t>TH</w:t>
      </w:r>
      <w:r w:rsidR="00584977">
        <w:rPr>
          <w:b/>
        </w:rPr>
        <w:t xml:space="preserve"> DAY OF MARCH, 2021</w:t>
      </w:r>
    </w:p>
    <w:p w14:paraId="34A720C7" w14:textId="77777777" w:rsidR="000A0C11" w:rsidRPr="00C05432" w:rsidRDefault="000A0C11" w:rsidP="001A6B09">
      <w:pPr>
        <w:contextualSpacing/>
      </w:pPr>
    </w:p>
    <w:p w14:paraId="0AA139DA" w14:textId="77777777" w:rsidR="000A0C11" w:rsidRPr="00C05432" w:rsidRDefault="000A0C11" w:rsidP="001A6B09">
      <w:pPr>
        <w:contextualSpacing/>
      </w:pPr>
    </w:p>
    <w:p w14:paraId="66352594" w14:textId="77777777" w:rsidR="000A0C11" w:rsidRPr="00C05432" w:rsidRDefault="000A0C11" w:rsidP="001A6B09">
      <w:pPr>
        <w:contextualSpacing/>
      </w:pPr>
      <w:r w:rsidRPr="00C05432">
        <w:t>________________________________</w:t>
      </w:r>
    </w:p>
    <w:p w14:paraId="1FEF8040" w14:textId="77777777" w:rsidR="000A0C11" w:rsidRPr="009D673E" w:rsidRDefault="000A0C11" w:rsidP="001A6B09">
      <w:pPr>
        <w:contextualSpacing/>
        <w:rPr>
          <w:b/>
        </w:rPr>
      </w:pPr>
      <w:r w:rsidRPr="009D673E">
        <w:rPr>
          <w:b/>
        </w:rPr>
        <w:t>Corporation Counsel</w:t>
      </w:r>
    </w:p>
    <w:p w14:paraId="4217D6CA" w14:textId="77777777" w:rsidR="001A6B09" w:rsidRDefault="001A6B09" w:rsidP="001A6B09">
      <w:pPr>
        <w:contextualSpacing/>
      </w:pPr>
    </w:p>
    <w:p w14:paraId="2797DE6C" w14:textId="77777777" w:rsidR="001A6B09" w:rsidRDefault="001A6B09" w:rsidP="001A6B09">
      <w:pPr>
        <w:contextualSpacing/>
      </w:pPr>
    </w:p>
    <w:p w14:paraId="083CA350" w14:textId="77777777" w:rsidR="001A6B09" w:rsidRDefault="001A6B09" w:rsidP="001A6B09">
      <w:pPr>
        <w:contextualSpacing/>
        <w:sectPr w:rsidR="001A6B09" w:rsidSect="00DA69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14:paraId="1951F1E2" w14:textId="77777777" w:rsidR="009D673E" w:rsidRDefault="009D673E" w:rsidP="001A6B09">
      <w:pPr>
        <w:contextualSpacing/>
        <w:rPr>
          <w:b/>
        </w:rPr>
      </w:pPr>
      <w:r w:rsidRPr="00947F17">
        <w:rPr>
          <w:b/>
        </w:rPr>
        <w:lastRenderedPageBreak/>
        <w:t>To:</w:t>
      </w:r>
      <w:r w:rsidRPr="00947F17">
        <w:rPr>
          <w:b/>
        </w:rPr>
        <w:tab/>
      </w:r>
      <w:r w:rsidRPr="00947F17">
        <w:rPr>
          <w:b/>
        </w:rPr>
        <w:tab/>
      </w:r>
      <w:r>
        <w:rPr>
          <w:b/>
        </w:rPr>
        <w:t>Danielle Gillespie</w:t>
      </w:r>
      <w:r w:rsidRPr="00947F17">
        <w:rPr>
          <w:b/>
        </w:rPr>
        <w:t>, City Clerk</w:t>
      </w:r>
    </w:p>
    <w:p w14:paraId="77B918F4" w14:textId="77777777" w:rsidR="001A6B09" w:rsidRPr="00DE7941" w:rsidRDefault="001A6B09" w:rsidP="001A6B09">
      <w:pPr>
        <w:contextualSpacing/>
        <w:rPr>
          <w:rFonts w:eastAsia="Calibri"/>
        </w:rPr>
      </w:pPr>
    </w:p>
    <w:p w14:paraId="12FF4F24" w14:textId="77777777" w:rsidR="001A6B09" w:rsidRDefault="009D673E" w:rsidP="001A6B09">
      <w:pPr>
        <w:contextualSpacing/>
        <w:jc w:val="both"/>
        <w:rPr>
          <w:b/>
        </w:rPr>
      </w:pPr>
      <w:r>
        <w:rPr>
          <w:b/>
        </w:rPr>
        <w:t>From:</w:t>
      </w:r>
      <w:r>
        <w:rPr>
          <w:b/>
        </w:rPr>
        <w:tab/>
      </w:r>
      <w:r>
        <w:rPr>
          <w:b/>
        </w:rPr>
        <w:tab/>
      </w:r>
      <w:r w:rsidR="001A6B09">
        <w:rPr>
          <w:b/>
        </w:rPr>
        <w:t>Robert Magee, Deputy Corporation Counsel</w:t>
      </w:r>
    </w:p>
    <w:p w14:paraId="678BCD5A" w14:textId="77777777" w:rsidR="001A6B09" w:rsidRDefault="001A6B09" w:rsidP="001A6B09">
      <w:pPr>
        <w:contextualSpacing/>
        <w:jc w:val="both"/>
        <w:rPr>
          <w:b/>
        </w:rPr>
      </w:pPr>
      <w:r>
        <w:rPr>
          <w:b/>
        </w:rPr>
        <w:tab/>
      </w:r>
      <w:r>
        <w:rPr>
          <w:b/>
        </w:rPr>
        <w:tab/>
        <w:t>Laura Gulfo, Assistant Corporation Counsel</w:t>
      </w:r>
    </w:p>
    <w:p w14:paraId="7951D527" w14:textId="77777777" w:rsidR="009D673E" w:rsidRPr="00947F17" w:rsidRDefault="00376648" w:rsidP="001A6B09">
      <w:pPr>
        <w:ind w:left="720" w:firstLine="720"/>
        <w:contextualSpacing/>
        <w:jc w:val="both"/>
        <w:rPr>
          <w:b/>
        </w:rPr>
      </w:pPr>
      <w:r>
        <w:rPr>
          <w:b/>
        </w:rPr>
        <w:t>Brett Williams, Esq.</w:t>
      </w:r>
      <w:r w:rsidR="003F0AA7">
        <w:rPr>
          <w:b/>
        </w:rPr>
        <w:t>,</w:t>
      </w:r>
      <w:r>
        <w:rPr>
          <w:b/>
        </w:rPr>
        <w:t xml:space="preserve"> Sr. Assistant Corporation Counsel</w:t>
      </w:r>
    </w:p>
    <w:p w14:paraId="536B22BE" w14:textId="77777777" w:rsidR="009D673E" w:rsidRDefault="009D673E" w:rsidP="001A6B09">
      <w:pPr>
        <w:contextualSpacing/>
        <w:jc w:val="both"/>
        <w:rPr>
          <w:b/>
        </w:rPr>
      </w:pPr>
    </w:p>
    <w:p w14:paraId="5020AA50" w14:textId="77777777" w:rsidR="009D673E" w:rsidRPr="00947F17" w:rsidRDefault="009D673E" w:rsidP="001A6B09">
      <w:pPr>
        <w:contextualSpacing/>
        <w:jc w:val="both"/>
        <w:rPr>
          <w:b/>
        </w:rPr>
      </w:pPr>
      <w:r w:rsidRPr="00947F17">
        <w:rPr>
          <w:b/>
        </w:rPr>
        <w:t>Re:</w:t>
      </w:r>
      <w:r w:rsidRPr="00947F17">
        <w:rPr>
          <w:b/>
        </w:rPr>
        <w:tab/>
      </w:r>
      <w:r w:rsidRPr="00947F17">
        <w:rPr>
          <w:b/>
        </w:rPr>
        <w:tab/>
        <w:t xml:space="preserve">Request for Common Council Legislation </w:t>
      </w:r>
    </w:p>
    <w:p w14:paraId="1032B05B" w14:textId="77777777" w:rsidR="009D673E" w:rsidRPr="00947F17" w:rsidRDefault="009D673E" w:rsidP="001A6B09">
      <w:pPr>
        <w:ind w:left="720" w:firstLine="720"/>
        <w:contextualSpacing/>
        <w:jc w:val="both"/>
        <w:rPr>
          <w:b/>
        </w:rPr>
      </w:pPr>
      <w:r w:rsidRPr="00947F17">
        <w:rPr>
          <w:b/>
        </w:rPr>
        <w:t>Supporting Memorandum</w:t>
      </w:r>
    </w:p>
    <w:p w14:paraId="03A45F1D" w14:textId="77777777" w:rsidR="009D673E" w:rsidRDefault="009D673E" w:rsidP="001A6B09">
      <w:pPr>
        <w:contextualSpacing/>
        <w:jc w:val="both"/>
        <w:rPr>
          <w:b/>
        </w:rPr>
      </w:pPr>
    </w:p>
    <w:p w14:paraId="53E19D06" w14:textId="77777777" w:rsidR="009D673E" w:rsidRPr="00947F17" w:rsidRDefault="009D673E" w:rsidP="001A6B09">
      <w:pPr>
        <w:contextualSpacing/>
        <w:jc w:val="both"/>
        <w:rPr>
          <w:b/>
        </w:rPr>
      </w:pPr>
      <w:r>
        <w:rPr>
          <w:b/>
        </w:rPr>
        <w:t>Date:</w:t>
      </w:r>
      <w:r>
        <w:rPr>
          <w:b/>
        </w:rPr>
        <w:tab/>
      </w:r>
      <w:r>
        <w:rPr>
          <w:b/>
        </w:rPr>
        <w:tab/>
      </w:r>
      <w:r w:rsidR="001A6B09">
        <w:rPr>
          <w:b/>
        </w:rPr>
        <w:t>March 2, 2021</w:t>
      </w:r>
    </w:p>
    <w:p w14:paraId="1151BF95" w14:textId="77777777" w:rsidR="009D673E" w:rsidRPr="00947F17" w:rsidRDefault="009D673E" w:rsidP="001A6B09">
      <w:pPr>
        <w:contextualSpacing/>
        <w:jc w:val="both"/>
        <w:rPr>
          <w:sz w:val="23"/>
          <w:szCs w:val="23"/>
        </w:rPr>
      </w:pPr>
    </w:p>
    <w:p w14:paraId="082F66C9" w14:textId="1204F0F3" w:rsidR="009D673E" w:rsidRPr="009D673E" w:rsidRDefault="009D673E" w:rsidP="001A6B09">
      <w:pPr>
        <w:contextualSpacing/>
        <w:jc w:val="both"/>
      </w:pPr>
      <w:r>
        <w:rPr>
          <w:b/>
        </w:rPr>
        <w:t>S</w:t>
      </w:r>
      <w:r w:rsidR="00131FE8">
        <w:rPr>
          <w:b/>
        </w:rPr>
        <w:t>ponsor</w:t>
      </w:r>
      <w:r w:rsidR="00201E27">
        <w:rPr>
          <w:b/>
        </w:rPr>
        <w:t>:</w:t>
      </w:r>
      <w:r>
        <w:rPr>
          <w:b/>
        </w:rPr>
        <w:tab/>
      </w:r>
      <w:r w:rsidRPr="00860F54">
        <w:rPr>
          <w:b/>
        </w:rPr>
        <w:t xml:space="preserve">Council Member </w:t>
      </w:r>
      <w:r w:rsidR="00131FE8" w:rsidRPr="00860F54">
        <w:rPr>
          <w:b/>
        </w:rPr>
        <w:t>Conti</w:t>
      </w:r>
    </w:p>
    <w:p w14:paraId="1D86F494" w14:textId="77777777" w:rsidR="009D673E" w:rsidRDefault="009D673E" w:rsidP="001A6B09">
      <w:pPr>
        <w:contextualSpacing/>
        <w:jc w:val="both"/>
        <w:rPr>
          <w:b/>
        </w:rPr>
      </w:pPr>
    </w:p>
    <w:p w14:paraId="5D619726" w14:textId="4C68D812" w:rsidR="009D673E" w:rsidRDefault="003270BD" w:rsidP="001A6B09">
      <w:pPr>
        <w:contextualSpacing/>
        <w:jc w:val="both"/>
        <w:rPr>
          <w:b/>
        </w:rPr>
      </w:pPr>
      <w:r>
        <w:rPr>
          <w:b/>
        </w:rPr>
        <w:t>LOCAL LAW G</w:t>
      </w:r>
      <w:r w:rsidR="00515716">
        <w:rPr>
          <w:b/>
        </w:rPr>
        <w:t xml:space="preserve"> OF 2021</w:t>
      </w:r>
    </w:p>
    <w:p w14:paraId="03F06E4A" w14:textId="77777777" w:rsidR="000A0C11" w:rsidRPr="009D673E" w:rsidRDefault="000A0C11" w:rsidP="001A6B09">
      <w:pPr>
        <w:contextualSpacing/>
        <w:jc w:val="both"/>
        <w:rPr>
          <w:b/>
        </w:rPr>
      </w:pPr>
    </w:p>
    <w:p w14:paraId="39C3CC6C" w14:textId="77777777" w:rsidR="001A6B09" w:rsidRDefault="00EC7354" w:rsidP="001A6B09">
      <w:pPr>
        <w:contextualSpacing/>
        <w:jc w:val="both"/>
        <w:rPr>
          <w:b/>
        </w:rPr>
      </w:pPr>
      <w:r>
        <w:rPr>
          <w:b/>
        </w:rPr>
        <w:t>TITLE</w:t>
      </w:r>
      <w:r w:rsidR="000A0C11" w:rsidRPr="001471B5">
        <w:rPr>
          <w:b/>
        </w:rPr>
        <w:t xml:space="preserve"> </w:t>
      </w:r>
    </w:p>
    <w:p w14:paraId="27862646" w14:textId="75CCD0EF" w:rsidR="001A6B09" w:rsidRPr="001A6B09" w:rsidRDefault="001A6B09" w:rsidP="001A6B09">
      <w:pPr>
        <w:contextualSpacing/>
        <w:jc w:val="both"/>
        <w:rPr>
          <w:b/>
        </w:rPr>
      </w:pPr>
      <w:r>
        <w:rPr>
          <w:bCs/>
          <w:color w:val="000000"/>
        </w:rPr>
        <w:t>A LOCAL LAW AME</w:t>
      </w:r>
      <w:r w:rsidRPr="004A5864">
        <w:rPr>
          <w:bCs/>
          <w:color w:val="000000"/>
        </w:rPr>
        <w:t xml:space="preserve">NDING ARTICLE </w:t>
      </w:r>
      <w:r>
        <w:rPr>
          <w:bCs/>
          <w:color w:val="000000"/>
        </w:rPr>
        <w:t>IX</w:t>
      </w:r>
      <w:r w:rsidRPr="004A5864">
        <w:rPr>
          <w:bCs/>
          <w:color w:val="000000"/>
        </w:rPr>
        <w:t xml:space="preserve"> (</w:t>
      </w:r>
      <w:r>
        <w:rPr>
          <w:bCs/>
          <w:color w:val="000000"/>
        </w:rPr>
        <w:t>BUILDING CONSTRUCTION &amp; REGULATION</w:t>
      </w:r>
      <w:r w:rsidRPr="004A5864">
        <w:rPr>
          <w:bCs/>
          <w:color w:val="000000"/>
        </w:rPr>
        <w:t xml:space="preserve">) OF PART </w:t>
      </w:r>
      <w:r>
        <w:rPr>
          <w:bCs/>
          <w:color w:val="000000"/>
        </w:rPr>
        <w:t>2</w:t>
      </w:r>
      <w:r w:rsidRPr="004A5864">
        <w:rPr>
          <w:bCs/>
          <w:color w:val="000000"/>
        </w:rPr>
        <w:t xml:space="preserve"> (</w:t>
      </w:r>
      <w:r>
        <w:rPr>
          <w:bCs/>
          <w:color w:val="000000"/>
        </w:rPr>
        <w:t>BUILDING CONSTRUCTION</w:t>
      </w:r>
      <w:r w:rsidRPr="004A5864">
        <w:rPr>
          <w:bCs/>
          <w:color w:val="000000"/>
        </w:rPr>
        <w:t xml:space="preserve">) OF CHAPTER </w:t>
      </w:r>
      <w:r>
        <w:rPr>
          <w:bCs/>
          <w:color w:val="000000"/>
        </w:rPr>
        <w:t>133</w:t>
      </w:r>
      <w:r w:rsidRPr="004A5864">
        <w:rPr>
          <w:bCs/>
          <w:color w:val="000000"/>
        </w:rPr>
        <w:t xml:space="preserve"> (</w:t>
      </w:r>
      <w:r>
        <w:rPr>
          <w:bCs/>
          <w:color w:val="000000"/>
        </w:rPr>
        <w:t>BUILDING CONSTRUCTION</w:t>
      </w:r>
      <w:r w:rsidR="003270BD">
        <w:rPr>
          <w:bCs/>
          <w:color w:val="000000"/>
        </w:rPr>
        <w:t>)</w:t>
      </w:r>
      <w:r w:rsidRPr="004A5864">
        <w:rPr>
          <w:bCs/>
          <w:color w:val="000000"/>
        </w:rPr>
        <w:t xml:space="preserve"> OF THE CODE OF THE CITY OF ALBANY IN RELATION TO THE </w:t>
      </w:r>
      <w:r>
        <w:rPr>
          <w:bCs/>
          <w:color w:val="000000"/>
        </w:rPr>
        <w:t>POWER OF THE CHIEF BUILDING OFFICIAL TO ACT IN EMERGENCIES</w:t>
      </w:r>
    </w:p>
    <w:p w14:paraId="60771981" w14:textId="77777777" w:rsidR="00EC7354" w:rsidRDefault="00EC7354" w:rsidP="001A6B09">
      <w:pPr>
        <w:contextualSpacing/>
        <w:jc w:val="both"/>
        <w:rPr>
          <w:b/>
        </w:rPr>
      </w:pPr>
    </w:p>
    <w:p w14:paraId="541A4E0B" w14:textId="77777777" w:rsidR="009D673E" w:rsidRPr="009D673E" w:rsidRDefault="00EC7354" w:rsidP="001A6B09">
      <w:pPr>
        <w:contextualSpacing/>
        <w:jc w:val="both"/>
        <w:rPr>
          <w:b/>
        </w:rPr>
      </w:pPr>
      <w:r>
        <w:rPr>
          <w:b/>
        </w:rPr>
        <w:t>GENERAL PURPOSE OF LEGISLATION</w:t>
      </w:r>
      <w:r w:rsidR="000C2584" w:rsidRPr="009D673E">
        <w:rPr>
          <w:b/>
        </w:rPr>
        <w:t xml:space="preserve"> </w:t>
      </w:r>
    </w:p>
    <w:p w14:paraId="1030D038" w14:textId="77777777" w:rsidR="000A0C11" w:rsidRDefault="001A6B09" w:rsidP="001A6B09">
      <w:pPr>
        <w:contextualSpacing/>
        <w:jc w:val="both"/>
      </w:pPr>
      <w:r>
        <w:t>This ordinance clarifies the authority of the Chief Building Official to act in the event of violations of the New York State Uniform Fire Prevention and Building Code which constitute an imminent safety threat.</w:t>
      </w:r>
    </w:p>
    <w:p w14:paraId="3BB0AE1D" w14:textId="77777777" w:rsidR="001A6B09" w:rsidRDefault="001A6B09" w:rsidP="001A6B09">
      <w:pPr>
        <w:contextualSpacing/>
        <w:jc w:val="both"/>
      </w:pPr>
    </w:p>
    <w:p w14:paraId="04146A1A" w14:textId="77777777" w:rsidR="001A6B09" w:rsidRDefault="001A6B09" w:rsidP="001A6B09">
      <w:pPr>
        <w:contextualSpacing/>
        <w:jc w:val="both"/>
      </w:pPr>
      <w:r>
        <w:t>This ordinance changes the title of the official with the authority to act in the event of such violations from “Commissioner” to Chief Building Official” and de-genders the language describing this individual.</w:t>
      </w:r>
    </w:p>
    <w:p w14:paraId="1E371993" w14:textId="77777777" w:rsidR="001A6B09" w:rsidRDefault="001A6B09" w:rsidP="001A6B09">
      <w:pPr>
        <w:contextualSpacing/>
        <w:jc w:val="both"/>
      </w:pPr>
    </w:p>
    <w:p w14:paraId="0E85B11A" w14:textId="5BBDCE0A" w:rsidR="008B6A99" w:rsidRPr="0069459F" w:rsidRDefault="008B6A99" w:rsidP="001A6B09">
      <w:pPr>
        <w:contextualSpacing/>
        <w:jc w:val="both"/>
        <w:rPr>
          <w:i/>
        </w:rPr>
      </w:pPr>
      <w:r w:rsidRPr="0069459F">
        <w:t xml:space="preserve">This ordinance also changes the language describing the obligation of the property owner to reimburse the City for the costs of work performed according to this chapter to make it easier for the City to recover such debt after the fact. </w:t>
      </w:r>
    </w:p>
    <w:p w14:paraId="2F197A24" w14:textId="77777777" w:rsidR="00EC7354" w:rsidRDefault="00EC7354" w:rsidP="001A6B09">
      <w:pPr>
        <w:contextualSpacing/>
        <w:jc w:val="both"/>
        <w:rPr>
          <w:b/>
        </w:rPr>
      </w:pPr>
    </w:p>
    <w:p w14:paraId="7F6F7E8E" w14:textId="77777777" w:rsidR="009D673E" w:rsidRPr="009D673E" w:rsidRDefault="000A0C11" w:rsidP="001A6B09">
      <w:pPr>
        <w:contextualSpacing/>
        <w:jc w:val="both"/>
        <w:rPr>
          <w:b/>
        </w:rPr>
      </w:pPr>
      <w:r w:rsidRPr="009D673E">
        <w:rPr>
          <w:b/>
        </w:rPr>
        <w:t>NECESSITY FOR L</w:t>
      </w:r>
      <w:r w:rsidR="000C2584" w:rsidRPr="009D673E">
        <w:rPr>
          <w:b/>
        </w:rPr>
        <w:t>EGISLATIO</w:t>
      </w:r>
      <w:r w:rsidR="001945DA" w:rsidRPr="009D673E">
        <w:rPr>
          <w:b/>
        </w:rPr>
        <w:t>N AND CHANGES TO EXIS</w:t>
      </w:r>
      <w:r w:rsidR="00EC7354">
        <w:rPr>
          <w:b/>
        </w:rPr>
        <w:t>TING LAW</w:t>
      </w:r>
    </w:p>
    <w:p w14:paraId="735718BA" w14:textId="77777777" w:rsidR="001A6B09" w:rsidRDefault="001A6B09" w:rsidP="001A6B09">
      <w:pPr>
        <w:spacing w:after="160" w:line="259" w:lineRule="auto"/>
        <w:contextualSpacing/>
        <w:jc w:val="both"/>
      </w:pPr>
      <w:r>
        <w:t>The changes made by this ordinance will better reflect the description of the Chief Building Official employed elsewhere in the City Code, particularly in the recent amendment to Chapter 375, the Unified Sustainable Development Ordinance. It also provides the City with greater flexibility in designating the Chief Building Official and addresses gender-bias in the wording of existing laws.</w:t>
      </w:r>
    </w:p>
    <w:p w14:paraId="6F5C7D3F" w14:textId="77777777" w:rsidR="00515716" w:rsidRPr="004A5864" w:rsidRDefault="00515716" w:rsidP="001A6B09">
      <w:pPr>
        <w:spacing w:after="160" w:line="259" w:lineRule="auto"/>
        <w:contextualSpacing/>
        <w:jc w:val="both"/>
      </w:pPr>
    </w:p>
    <w:p w14:paraId="4A3DC675" w14:textId="77777777" w:rsidR="009D673E" w:rsidRDefault="000A0C11" w:rsidP="001A6B09">
      <w:pPr>
        <w:contextualSpacing/>
        <w:jc w:val="both"/>
        <w:rPr>
          <w:b/>
        </w:rPr>
      </w:pPr>
      <w:r w:rsidRPr="009D673E">
        <w:rPr>
          <w:b/>
        </w:rPr>
        <w:t>FISCAL IMPACT</w:t>
      </w:r>
      <w:r w:rsidR="006C3747">
        <w:rPr>
          <w:b/>
        </w:rPr>
        <w:t>(</w:t>
      </w:r>
      <w:r w:rsidRPr="009D673E">
        <w:rPr>
          <w:b/>
        </w:rPr>
        <w:t>S</w:t>
      </w:r>
      <w:r w:rsidR="006C3747">
        <w:rPr>
          <w:b/>
        </w:rPr>
        <w:t>)</w:t>
      </w:r>
    </w:p>
    <w:p w14:paraId="3EF357FC" w14:textId="77777777" w:rsidR="001A6B09" w:rsidRPr="001A6B09" w:rsidRDefault="001A6B09" w:rsidP="001A6B09">
      <w:pPr>
        <w:contextualSpacing/>
        <w:jc w:val="both"/>
      </w:pPr>
      <w:r>
        <w:t>None</w:t>
      </w:r>
    </w:p>
    <w:sectPr w:rsidR="001A6B09" w:rsidRPr="001A6B09" w:rsidSect="00DA6969">
      <w:footerReference w:type="default" r:id="rId13"/>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04E87" w16cex:dateUtc="2021-03-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5CAD0" w16cid:durableId="24004DE4"/>
  <w16cid:commentId w16cid:paraId="1B962DD3" w16cid:durableId="24004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7C9E3" w14:textId="77777777" w:rsidR="002F35A2" w:rsidRDefault="002F35A2" w:rsidP="006C3747">
      <w:r>
        <w:separator/>
      </w:r>
    </w:p>
  </w:endnote>
  <w:endnote w:type="continuationSeparator" w:id="0">
    <w:p w14:paraId="5491BDDD" w14:textId="77777777" w:rsidR="002F35A2" w:rsidRDefault="002F35A2" w:rsidP="006C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3C54" w14:textId="77777777" w:rsidR="001433E5" w:rsidRDefault="00143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5256" w14:textId="69DAE146" w:rsidR="006C3747" w:rsidRDefault="006C3747" w:rsidP="006C3747">
    <w:pPr>
      <w:pStyle w:val="Footer"/>
      <w:jc w:val="center"/>
    </w:pPr>
    <w:r w:rsidRPr="006C3747">
      <w:t xml:space="preserve">Matter in </w:t>
    </w:r>
    <w:r w:rsidR="000B0452">
      <w:t xml:space="preserve">brackets and </w:t>
    </w:r>
    <w:r w:rsidR="0069459F">
      <w:t>[</w:t>
    </w:r>
    <w:r w:rsidRPr="006C3747">
      <w:rPr>
        <w:strike/>
      </w:rPr>
      <w:t>strikethrough</w:t>
    </w:r>
    <w:r w:rsidR="0069459F">
      <w:t xml:space="preserve">] </w:t>
    </w:r>
    <w:r w:rsidRPr="006C3747">
      <w:t xml:space="preserve">to be deleted.  Matter </w:t>
    </w:r>
    <w:r w:rsidRPr="006C3747">
      <w:rPr>
        <w:u w:val="single"/>
      </w:rPr>
      <w:t>underlined</w:t>
    </w:r>
    <w:r w:rsidRPr="006C3747">
      <w:t xml:space="preserve"> is new material.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E27C" w14:textId="77777777" w:rsidR="001433E5" w:rsidRDefault="001433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0FC1" w14:textId="77777777" w:rsidR="00052A59" w:rsidRDefault="00052A59" w:rsidP="006C37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1E55" w14:textId="77777777" w:rsidR="002F35A2" w:rsidRDefault="002F35A2" w:rsidP="006C3747">
      <w:r>
        <w:separator/>
      </w:r>
    </w:p>
  </w:footnote>
  <w:footnote w:type="continuationSeparator" w:id="0">
    <w:p w14:paraId="4766C460" w14:textId="77777777" w:rsidR="002F35A2" w:rsidRDefault="002F35A2" w:rsidP="006C3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95C8" w14:textId="77777777" w:rsidR="001433E5" w:rsidRDefault="00143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5ACD" w14:textId="1C004308" w:rsidR="001433E5" w:rsidRDefault="00143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0FD42" w14:textId="77777777" w:rsidR="001433E5" w:rsidRDefault="00143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005B6"/>
    <w:multiLevelType w:val="hybridMultilevel"/>
    <w:tmpl w:val="9364D80E"/>
    <w:lvl w:ilvl="0" w:tplc="4E22D44C">
      <w:start w:val="1"/>
      <w:numFmt w:val="upperLetter"/>
      <w:lvlText w:val="%1."/>
      <w:lvlJc w:val="left"/>
      <w:pPr>
        <w:tabs>
          <w:tab w:val="num" w:pos="1080"/>
        </w:tabs>
        <w:ind w:left="1080" w:hanging="36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t7C0MDcyMLcwMzFX0lEKTi0uzszPAykwrwUAMbk7jSwAAAA="/>
  </w:docVars>
  <w:rsids>
    <w:rsidRoot w:val="002F35A2"/>
    <w:rsid w:val="00011B94"/>
    <w:rsid w:val="00052A59"/>
    <w:rsid w:val="000A0C11"/>
    <w:rsid w:val="000B0452"/>
    <w:rsid w:val="000C2584"/>
    <w:rsid w:val="00120422"/>
    <w:rsid w:val="00131FE8"/>
    <w:rsid w:val="001433E5"/>
    <w:rsid w:val="001471B5"/>
    <w:rsid w:val="001945DA"/>
    <w:rsid w:val="001A6B09"/>
    <w:rsid w:val="001B064E"/>
    <w:rsid w:val="001D0627"/>
    <w:rsid w:val="001D154A"/>
    <w:rsid w:val="001E72AB"/>
    <w:rsid w:val="00201E27"/>
    <w:rsid w:val="002F35A2"/>
    <w:rsid w:val="00302F18"/>
    <w:rsid w:val="003270BD"/>
    <w:rsid w:val="00376648"/>
    <w:rsid w:val="003F0AA7"/>
    <w:rsid w:val="004A1440"/>
    <w:rsid w:val="004A517C"/>
    <w:rsid w:val="004D739D"/>
    <w:rsid w:val="00515716"/>
    <w:rsid w:val="00557F7C"/>
    <w:rsid w:val="00584977"/>
    <w:rsid w:val="005F0079"/>
    <w:rsid w:val="0060642E"/>
    <w:rsid w:val="00627DA9"/>
    <w:rsid w:val="006357C0"/>
    <w:rsid w:val="0063785E"/>
    <w:rsid w:val="0064496A"/>
    <w:rsid w:val="0069459F"/>
    <w:rsid w:val="006B1C9F"/>
    <w:rsid w:val="006C3747"/>
    <w:rsid w:val="006C6CB9"/>
    <w:rsid w:val="006E340A"/>
    <w:rsid w:val="006F6679"/>
    <w:rsid w:val="007075BE"/>
    <w:rsid w:val="00716461"/>
    <w:rsid w:val="00716B86"/>
    <w:rsid w:val="00775C0F"/>
    <w:rsid w:val="00777E2E"/>
    <w:rsid w:val="007972AF"/>
    <w:rsid w:val="008609C8"/>
    <w:rsid w:val="00860F54"/>
    <w:rsid w:val="00883118"/>
    <w:rsid w:val="008B6A99"/>
    <w:rsid w:val="00977A81"/>
    <w:rsid w:val="00987580"/>
    <w:rsid w:val="009D673E"/>
    <w:rsid w:val="00A12F59"/>
    <w:rsid w:val="00A81C06"/>
    <w:rsid w:val="00A9240D"/>
    <w:rsid w:val="00B34C30"/>
    <w:rsid w:val="00C05432"/>
    <w:rsid w:val="00D5498A"/>
    <w:rsid w:val="00D65AA5"/>
    <w:rsid w:val="00DA6969"/>
    <w:rsid w:val="00EC7354"/>
    <w:rsid w:val="00F30EDE"/>
    <w:rsid w:val="00F41C28"/>
    <w:rsid w:val="00F5627C"/>
    <w:rsid w:val="00FE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32B9412D"/>
  <w15:docId w15:val="{7B49F2F0-73BA-414E-A520-3AFDC9E1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18"/>
    <w:rPr>
      <w:rFonts w:ascii="Times New Roman" w:eastAsia="Times New Roman" w:hAnsi="Times New Roman"/>
      <w:sz w:val="24"/>
      <w:szCs w:val="24"/>
    </w:rPr>
  </w:style>
  <w:style w:type="paragraph" w:styleId="Heading1">
    <w:name w:val="heading 1"/>
    <w:basedOn w:val="Normal"/>
    <w:next w:val="Normal"/>
    <w:link w:val="Heading1Char"/>
    <w:qFormat/>
    <w:locked/>
    <w:rsid w:val="001D0627"/>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627"/>
    <w:rPr>
      <w:rFonts w:ascii="Times New Roman" w:eastAsia="Times New Roman" w:hAnsi="Times New Roman"/>
      <w:b/>
      <w:sz w:val="24"/>
      <w:szCs w:val="20"/>
    </w:rPr>
  </w:style>
  <w:style w:type="paragraph" w:styleId="Header">
    <w:name w:val="header"/>
    <w:basedOn w:val="Normal"/>
    <w:link w:val="HeaderChar"/>
    <w:uiPriority w:val="99"/>
    <w:unhideWhenUsed/>
    <w:rsid w:val="006C3747"/>
    <w:pPr>
      <w:tabs>
        <w:tab w:val="center" w:pos="4680"/>
        <w:tab w:val="right" w:pos="9360"/>
      </w:tabs>
    </w:pPr>
  </w:style>
  <w:style w:type="character" w:customStyle="1" w:styleId="HeaderChar">
    <w:name w:val="Header Char"/>
    <w:basedOn w:val="DefaultParagraphFont"/>
    <w:link w:val="Header"/>
    <w:uiPriority w:val="99"/>
    <w:rsid w:val="006C3747"/>
    <w:rPr>
      <w:rFonts w:ascii="Times New Roman" w:eastAsia="Times New Roman" w:hAnsi="Times New Roman"/>
      <w:sz w:val="24"/>
      <w:szCs w:val="24"/>
    </w:rPr>
  </w:style>
  <w:style w:type="paragraph" w:styleId="Footer">
    <w:name w:val="footer"/>
    <w:basedOn w:val="Normal"/>
    <w:link w:val="FooterChar"/>
    <w:uiPriority w:val="99"/>
    <w:unhideWhenUsed/>
    <w:rsid w:val="006C3747"/>
    <w:pPr>
      <w:tabs>
        <w:tab w:val="center" w:pos="4680"/>
        <w:tab w:val="right" w:pos="9360"/>
      </w:tabs>
    </w:pPr>
  </w:style>
  <w:style w:type="character" w:customStyle="1" w:styleId="FooterChar">
    <w:name w:val="Footer Char"/>
    <w:basedOn w:val="DefaultParagraphFont"/>
    <w:link w:val="Footer"/>
    <w:uiPriority w:val="99"/>
    <w:rsid w:val="006C3747"/>
    <w:rPr>
      <w:rFonts w:ascii="Times New Roman" w:eastAsia="Times New Roman" w:hAnsi="Times New Roman"/>
      <w:sz w:val="24"/>
      <w:szCs w:val="24"/>
    </w:rPr>
  </w:style>
  <w:style w:type="paragraph" w:styleId="BodyText">
    <w:name w:val="Body Text"/>
    <w:basedOn w:val="Normal"/>
    <w:link w:val="BodyTextChar"/>
    <w:rsid w:val="006C3747"/>
    <w:pPr>
      <w:widowControl w:val="0"/>
      <w:suppressAutoHyphens/>
      <w:spacing w:after="140" w:line="276" w:lineRule="auto"/>
    </w:pPr>
    <w:rPr>
      <w:rFonts w:ascii="Liberation Serif" w:eastAsia="DejaVu Sans" w:hAnsi="Liberation Serif" w:cs="DejaVu Sans"/>
      <w:color w:val="000000"/>
      <w:lang w:eastAsia="zh-CN" w:bidi="hi-IN"/>
    </w:rPr>
  </w:style>
  <w:style w:type="character" w:customStyle="1" w:styleId="BodyTextChar">
    <w:name w:val="Body Text Char"/>
    <w:basedOn w:val="DefaultParagraphFont"/>
    <w:link w:val="BodyText"/>
    <w:rsid w:val="006C3747"/>
    <w:rPr>
      <w:rFonts w:ascii="Liberation Serif" w:eastAsia="DejaVu Sans" w:hAnsi="Liberation Serif" w:cs="DejaVu Sans"/>
      <w:color w:val="000000"/>
      <w:sz w:val="24"/>
      <w:szCs w:val="24"/>
      <w:lang w:eastAsia="zh-CN" w:bidi="hi-IN"/>
    </w:rPr>
  </w:style>
  <w:style w:type="paragraph" w:styleId="NoSpacing">
    <w:name w:val="No Spacing"/>
    <w:uiPriority w:val="1"/>
    <w:qFormat/>
    <w:rsid w:val="002F35A2"/>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E340A"/>
    <w:rPr>
      <w:sz w:val="16"/>
      <w:szCs w:val="16"/>
    </w:rPr>
  </w:style>
  <w:style w:type="paragraph" w:styleId="CommentText">
    <w:name w:val="annotation text"/>
    <w:basedOn w:val="Normal"/>
    <w:link w:val="CommentTextChar"/>
    <w:uiPriority w:val="99"/>
    <w:semiHidden/>
    <w:unhideWhenUsed/>
    <w:rsid w:val="006E340A"/>
    <w:rPr>
      <w:sz w:val="20"/>
      <w:szCs w:val="20"/>
    </w:rPr>
  </w:style>
  <w:style w:type="character" w:customStyle="1" w:styleId="CommentTextChar">
    <w:name w:val="Comment Text Char"/>
    <w:basedOn w:val="DefaultParagraphFont"/>
    <w:link w:val="CommentText"/>
    <w:uiPriority w:val="99"/>
    <w:semiHidden/>
    <w:rsid w:val="006E340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40A"/>
    <w:rPr>
      <w:b/>
      <w:bCs/>
    </w:rPr>
  </w:style>
  <w:style w:type="character" w:customStyle="1" w:styleId="CommentSubjectChar">
    <w:name w:val="Comment Subject Char"/>
    <w:basedOn w:val="CommentTextChar"/>
    <w:link w:val="CommentSubject"/>
    <w:uiPriority w:val="99"/>
    <w:semiHidden/>
    <w:rsid w:val="006E340A"/>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6E3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n%20Council\Ordinances\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Ordinance Template</Template>
  <TotalTime>7</TotalTime>
  <Pages>3</Pages>
  <Words>792</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Ordinance Template Brett</vt:lpstr>
    </vt:vector>
  </TitlesOfParts>
  <Company>City Of Albany</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Template Brett</dc:title>
  <dc:creator>Bret T. Williams</dc:creator>
  <cp:lastModifiedBy>Bret T. Williams</cp:lastModifiedBy>
  <cp:revision>8</cp:revision>
  <dcterms:created xsi:type="dcterms:W3CDTF">2021-03-22T14:56:00Z</dcterms:created>
  <dcterms:modified xsi:type="dcterms:W3CDTF">2021-03-25T17:39:00Z</dcterms:modified>
</cp:coreProperties>
</file>